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16" w:type="dxa"/>
        <w:tblInd w:w="-34" w:type="dxa"/>
        <w:tblLook w:val="04A0"/>
      </w:tblPr>
      <w:tblGrid>
        <w:gridCol w:w="4679"/>
        <w:gridCol w:w="6237"/>
      </w:tblGrid>
      <w:tr>
        <w:tc>
          <w:tcPr>
            <w:tcW w:w="4679" w:type="dxa"/>
            <w:tcBorders>
              <w:top w:val="nil"/>
              <w:left w:val="nil"/>
              <w:bottom w:val="nil"/>
              <w:right w:val="nil"/>
            </w:tcBorders>
          </w:tcPr>
          <w:p>
            <w:pPr>
              <w:jc w:val="center"/>
              <w:rPr>
                <w:sz w:val="28"/>
                <w:szCs w:val="28"/>
              </w:rPr>
            </w:pPr>
            <w:r>
              <w:rPr>
                <w:sz w:val="28"/>
                <w:szCs w:val="28"/>
              </w:rPr>
              <w:t>ỦY BAN NHÂN DÂN QUẬN 8</w:t>
            </w:r>
          </w:p>
          <w:p>
            <w:pPr>
              <w:jc w:val="center"/>
              <w:rPr>
                <w:b/>
                <w:sz w:val="28"/>
                <w:szCs w:val="28"/>
              </w:rPr>
            </w:pPr>
            <w:r>
              <w:rPr>
                <w:b/>
                <w:sz w:val="28"/>
                <w:szCs w:val="28"/>
              </w:rPr>
              <w:t>PHÒNG GIÁO DỤC VÀ ĐÀO TẠO</w:t>
            </w:r>
          </w:p>
        </w:tc>
        <w:tc>
          <w:tcPr>
            <w:tcW w:w="6237" w:type="dxa"/>
            <w:tcBorders>
              <w:top w:val="nil"/>
              <w:left w:val="nil"/>
              <w:bottom w:val="nil"/>
              <w:right w:val="nil"/>
            </w:tcBorders>
          </w:tcPr>
          <w:p>
            <w:pPr>
              <w:jc w:val="center"/>
              <w:rPr>
                <w:b/>
                <w:sz w:val="28"/>
                <w:szCs w:val="28"/>
              </w:rPr>
            </w:pPr>
            <w:r>
              <w:rPr>
                <w:b/>
                <w:sz w:val="28"/>
                <w:szCs w:val="28"/>
              </w:rPr>
              <w:t>CỘNG HÒA XÃ HỘI CHỦ NGHĨA VIỆT NAM</w:t>
            </w:r>
          </w:p>
          <w:p>
            <w:pPr>
              <w:jc w:val="center"/>
              <w:rPr>
                <w:b/>
                <w:sz w:val="28"/>
                <w:szCs w:val="28"/>
              </w:rPr>
            </w:pPr>
            <w:r>
              <w:rPr>
                <w:b/>
                <w:noProof/>
                <w:sz w:val="28"/>
                <w:szCs w:val="28"/>
              </w:rPr>
              <w:pict>
                <v:line id="Straight Connector 1" o:spid="_x0000_s1026" style="position:absolute;left:0;text-align:left;z-index:251659264;visibility:visibl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w:r>
            <w:r>
              <w:rPr>
                <w:b/>
                <w:sz w:val="28"/>
                <w:szCs w:val="28"/>
              </w:rPr>
              <w:t>Độc lập – Tự do – Hạnh phúc</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4679" w:type="dxa"/>
            <w:vAlign w:val="bottom"/>
          </w:tcPr>
          <w:p>
            <w:pPr>
              <w:jc w:val="center"/>
              <w:rPr>
                <w:sz w:val="28"/>
                <w:szCs w:val="28"/>
              </w:rPr>
            </w:pPr>
            <w:r>
              <w:rPr>
                <w:noProof/>
                <w:sz w:val="28"/>
                <w:szCs w:val="28"/>
              </w:rPr>
              <w:pict>
                <v:line id="Straight Connector 2" o:spid="_x0000_s1027" style="position:absolute;left:0;text-align:left;z-index:251660288;visibility:visible;mso-position-horizontal-relative:text;mso-position-vertical-relative:text;mso-width-relative:margin;mso-height-relative:margin" from="64.1pt,-7.85pt" to="142.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w:r>
            <w:r>
              <w:rPr>
                <w:sz w:val="28"/>
                <w:szCs w:val="28"/>
              </w:rPr>
              <w:t>Số 136/GDĐT</w:t>
            </w:r>
          </w:p>
        </w:tc>
        <w:tc>
          <w:tcPr>
            <w:tcW w:w="6237" w:type="dxa"/>
            <w:vAlign w:val="bottom"/>
          </w:tcPr>
          <w:p>
            <w:pPr>
              <w:jc w:val="center"/>
              <w:rPr>
                <w:i/>
                <w:sz w:val="28"/>
                <w:szCs w:val="28"/>
              </w:rPr>
            </w:pPr>
            <w:r>
              <w:rPr>
                <w:i/>
                <w:sz w:val="28"/>
                <w:szCs w:val="28"/>
              </w:rPr>
              <w:t>Quận 8, ngày 18  tháng 3 năm 2020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4679" w:type="dxa"/>
            <w:vAlign w:val="bottom"/>
          </w:tcPr>
          <w:p>
            <w:pPr>
              <w:jc w:val="center"/>
              <w:rPr>
                <w:szCs w:val="26"/>
              </w:rPr>
            </w:pPr>
            <w:r>
              <w:rPr>
                <w:szCs w:val="26"/>
              </w:rPr>
              <w:t xml:space="preserve">Về hướng dẫn tổ chức dạy học trực tuyến và công tác kiểm soát giáo viên, nhân viên, học sinh đi về từ vùng dịch </w:t>
            </w:r>
          </w:p>
        </w:tc>
        <w:tc>
          <w:tcPr>
            <w:tcW w:w="6237" w:type="dxa"/>
            <w:vAlign w:val="bottom"/>
          </w:tcPr>
          <w:p>
            <w:pPr>
              <w:jc w:val="both"/>
              <w:rPr>
                <w:i/>
              </w:rPr>
            </w:pPr>
          </w:p>
        </w:tc>
      </w:tr>
    </w:tbl>
    <w:p>
      <w:pPr>
        <w:spacing w:before="240"/>
        <w:jc w:val="both"/>
        <w:rPr>
          <w:sz w:val="28"/>
          <w:szCs w:val="28"/>
        </w:rPr>
      </w:pPr>
      <w:r>
        <w:tab/>
      </w:r>
      <w:r>
        <w:tab/>
      </w:r>
      <w:r>
        <w:tab/>
      </w:r>
      <w:r>
        <w:rPr>
          <w:szCs w:val="26"/>
        </w:rPr>
        <w:t xml:space="preserve">                     </w:t>
      </w:r>
      <w:r>
        <w:rPr>
          <w:sz w:val="28"/>
          <w:szCs w:val="28"/>
        </w:rPr>
        <w:t>Kính gửi: Hiệu trưởng các trường Tiểu học, Hy Vọng</w:t>
      </w:r>
    </w:p>
    <w:p>
      <w:pPr>
        <w:jc w:val="both"/>
        <w:rPr>
          <w:sz w:val="28"/>
          <w:szCs w:val="28"/>
        </w:rPr>
      </w:pPr>
      <w:r>
        <w:rPr>
          <w:sz w:val="28"/>
          <w:szCs w:val="28"/>
        </w:rPr>
        <w:tab/>
        <w:t>Căn cứ công văn số 830/GDĐT-TH ngày 16 tháng 3 năm 2020 của Sở Giáo dục và Đào tạo về hướng dẫn tổ chức dạy học trực tuyến và công tác kiểm soát giáo viên, nhân viên, học sinh đi về từ vùng dịch;</w:t>
      </w:r>
    </w:p>
    <w:p>
      <w:pPr>
        <w:jc w:val="both"/>
        <w:rPr>
          <w:sz w:val="28"/>
          <w:szCs w:val="28"/>
        </w:rPr>
      </w:pPr>
      <w:r>
        <w:rPr>
          <w:sz w:val="28"/>
          <w:szCs w:val="28"/>
        </w:rPr>
        <w:tab/>
        <w:t>Phòng Giáo dục và Đào tạo Quận 8 hướng dẫn tổ chức dạy học trực tuyến và công tác kiểm soát giáo viên, nhân viên, học sinh đi về từ vùng dịch với những nội dung như sau:</w:t>
      </w:r>
    </w:p>
    <w:p>
      <w:pPr>
        <w:ind w:left="720"/>
        <w:jc w:val="both"/>
        <w:rPr>
          <w:b/>
          <w:sz w:val="28"/>
          <w:szCs w:val="28"/>
        </w:rPr>
      </w:pPr>
      <w:r>
        <w:rPr>
          <w:b/>
          <w:sz w:val="28"/>
          <w:szCs w:val="28"/>
        </w:rPr>
        <w:t>1/- Về kế hoạch tổ chức ôn tập và dạy học trực tuyến</w:t>
      </w:r>
    </w:p>
    <w:p>
      <w:pPr>
        <w:ind w:firstLine="720"/>
        <w:jc w:val="both"/>
        <w:rPr>
          <w:sz w:val="28"/>
          <w:szCs w:val="28"/>
        </w:rPr>
      </w:pPr>
      <w:r>
        <w:rPr>
          <w:sz w:val="28"/>
          <w:szCs w:val="28"/>
        </w:rPr>
        <w:t>- Hiệu trưởng các trường tiểu học, Hy Vọng chỉ đạo giáo viên xây dựng kế hoạch dạy học trực tuyến thông qua cổng thông tin điện tử c1 của nhà trường (sau đây gọi tắt là website trường), kế hoạch lấy chuẩn kiến thức kỹ năng làm cơ sở, tập trung cho các môn học sau:</w:t>
      </w:r>
    </w:p>
    <w:p>
      <w:pPr>
        <w:ind w:left="720"/>
        <w:jc w:val="both"/>
        <w:rPr>
          <w:sz w:val="28"/>
          <w:szCs w:val="28"/>
        </w:rPr>
      </w:pPr>
      <w:r>
        <w:rPr>
          <w:sz w:val="28"/>
          <w:szCs w:val="28"/>
        </w:rPr>
        <w:tab/>
        <w:t>+ Khối lớp 1, 2, 3: Tiếng Việt, Toán, Ngoại ngữ</w:t>
      </w:r>
    </w:p>
    <w:p>
      <w:pPr>
        <w:ind w:left="720"/>
        <w:jc w:val="both"/>
        <w:rPr>
          <w:sz w:val="28"/>
          <w:szCs w:val="28"/>
        </w:rPr>
      </w:pPr>
      <w:r>
        <w:rPr>
          <w:sz w:val="28"/>
          <w:szCs w:val="28"/>
        </w:rPr>
        <w:tab/>
        <w:t>+ Khối 4, 5: Tiếng Việt, Toán, Ngoại ngữ, Khoa học, Lịch sử và Địa lý.</w:t>
      </w:r>
    </w:p>
    <w:p>
      <w:pPr>
        <w:ind w:firstLine="720"/>
        <w:jc w:val="both"/>
        <w:rPr>
          <w:sz w:val="28"/>
          <w:szCs w:val="28"/>
        </w:rPr>
      </w:pPr>
      <w:r>
        <w:rPr>
          <w:sz w:val="28"/>
          <w:szCs w:val="28"/>
        </w:rPr>
        <w:t>- Phân công giáo viên nhà trường cùng với tổ khối chuyên môn thống nhất kế hoạch trình hiệu trưởng phê duyệt trước khi tiến hành ghi hình bài giảng, thiết kế các bài trình diễn, xây dựng các hoạt động và hệ thống bài tập, đăng tải lên website trường định kỳ theo từng tuần; đối với các trường, các khối lớp còn khó khăn thì có thể thiết kế qua tin nhắn, thư điện tử, các phương tiện khác... hoặc in sao trên giấy và gửi đến cho cha mẹ học sinh;</w:t>
      </w:r>
    </w:p>
    <w:p>
      <w:pPr>
        <w:ind w:firstLine="720"/>
        <w:jc w:val="both"/>
        <w:rPr>
          <w:sz w:val="28"/>
          <w:szCs w:val="28"/>
        </w:rPr>
      </w:pPr>
      <w:r>
        <w:rPr>
          <w:sz w:val="28"/>
          <w:szCs w:val="28"/>
        </w:rPr>
        <w:t>- Số tiết dạy học trực tuyến căn cứ theo đối tượng học sinh và điều kiện cụ thể của nhà trường, nhưng thực hiện tinh giản kiến thức theo hướng dẫn tại công văn số 793/BGDĐT-GDTrH ngày 12 tháng 3 năm 2020 của Bộ Giáo dục và Đào tạo về tăng cường dạy học qua internet, trên truyền hình trong thời gian nghỉ học để phòng, chống Covid-19;</w:t>
      </w:r>
    </w:p>
    <w:p>
      <w:pPr>
        <w:ind w:firstLine="720"/>
        <w:jc w:val="both"/>
        <w:rPr>
          <w:sz w:val="28"/>
          <w:szCs w:val="28"/>
        </w:rPr>
      </w:pPr>
      <w:r>
        <w:rPr>
          <w:sz w:val="28"/>
          <w:szCs w:val="28"/>
        </w:rPr>
        <w:t>- Việc dạy học trực tuyến được thực hiện theo kế hoạch dạy học có nội dung tinh giản như trên, theo chủ đề, chủ điểm, không lệ thuộc vào từng bài theo phân phối chương trình;</w:t>
      </w:r>
    </w:p>
    <w:p>
      <w:pPr>
        <w:ind w:firstLine="720"/>
        <w:jc w:val="both"/>
        <w:rPr>
          <w:sz w:val="28"/>
          <w:szCs w:val="28"/>
        </w:rPr>
      </w:pPr>
      <w:r>
        <w:rPr>
          <w:sz w:val="28"/>
          <w:szCs w:val="28"/>
        </w:rPr>
        <w:t xml:space="preserve">- Nội dung giảng dạy trên thực hiện trong thời gian từ nay cho đến ngày 05/4/2020 gồm: Kiến thức từ tuần 21 đến hết tuần 23 theo phân phối chương trình năm học cho đến khi có thông báo kế tiếp; </w:t>
      </w:r>
    </w:p>
    <w:p>
      <w:pPr>
        <w:ind w:firstLine="720"/>
        <w:jc w:val="both"/>
        <w:rPr>
          <w:sz w:val="28"/>
          <w:szCs w:val="28"/>
        </w:rPr>
      </w:pPr>
      <w:r>
        <w:rPr>
          <w:sz w:val="28"/>
          <w:szCs w:val="28"/>
        </w:rPr>
        <w:t xml:space="preserve">- Nhà trường hướng dẫn học sinh và cha mẹ học sinh đăng nhập vào website trường bằng tài khoản học sinh để ôn tập kiến thức, học tập kiến thức mới; Giáo viên chủ nhiệm và các giáo viên bộ môn có biện pháp theo dõi, nhận xét, đánh giá thực </w:t>
      </w:r>
      <w:r>
        <w:rPr>
          <w:sz w:val="28"/>
          <w:szCs w:val="28"/>
        </w:rPr>
        <w:lastRenderedPageBreak/>
        <w:t>hiện nhiệm vụ học tập đã giao cho học sinh, động viên, khuyến khích học sinh hoàn thành các bài học và các hoạt động trong tuần; phối hợp với gia đình học sinh để có biện pháp quản lý hoạt động học của học sinh qua internet;</w:t>
      </w:r>
    </w:p>
    <w:p>
      <w:pPr>
        <w:ind w:firstLine="720"/>
        <w:jc w:val="both"/>
        <w:rPr>
          <w:sz w:val="28"/>
          <w:szCs w:val="28"/>
        </w:rPr>
      </w:pPr>
      <w:r>
        <w:rPr>
          <w:sz w:val="28"/>
          <w:szCs w:val="28"/>
        </w:rPr>
        <w:t>- Khuyến khích các trường phối hợp với công ty, tổ chức, trung tâm đang cung cấp chương trình dạy học ngoại ngữ cho các trường tiểu học tiến hành xây dựng công cụ ôn tập, rèn luyện và dạy bài mới theo hình thức trực tuyến, miễn phí hoặc có thu theo thỏa thuận;</w:t>
      </w:r>
    </w:p>
    <w:p>
      <w:pPr>
        <w:ind w:firstLine="720"/>
        <w:jc w:val="both"/>
        <w:rPr>
          <w:sz w:val="28"/>
          <w:szCs w:val="28"/>
        </w:rPr>
      </w:pPr>
      <w:r>
        <w:rPr>
          <w:sz w:val="28"/>
          <w:szCs w:val="28"/>
        </w:rPr>
        <w:t xml:space="preserve"> - Khi học sinh đi học trở lại, Hiệu trưởng chỉ đạo giáo viên rà soát, đánh giá kết quả học tập trên internet, từ đó tinh giản nội dung dạy học và điều chỉnh kế hoạch dạy học theo hướng kế thừa những nội dung kiến thức đã học qua internet nhằm tối ưu thời gian và nội dung kiến thức cần tiếp tục dạy học trong chương trình theo quy định;</w:t>
      </w:r>
    </w:p>
    <w:p>
      <w:pPr>
        <w:ind w:firstLine="720"/>
        <w:jc w:val="both"/>
        <w:rPr>
          <w:sz w:val="28"/>
          <w:szCs w:val="28"/>
        </w:rPr>
      </w:pPr>
      <w:r>
        <w:rPr>
          <w:sz w:val="28"/>
          <w:szCs w:val="28"/>
        </w:rPr>
        <w:t>- Phòng Giáo dục và Đào tạo sẽ theo dõi kế hoạch tổ chức dạy học trực tuyến của các trường để kịp thời chỉ đạo, góp ý rút kinh nghiệm hoặc giới thiệu, chia sẻ mô hình điển hình của các trường cho quận và các quận huyện khác.</w:t>
      </w:r>
    </w:p>
    <w:p>
      <w:pPr>
        <w:ind w:left="720"/>
        <w:jc w:val="both"/>
        <w:rPr>
          <w:b/>
          <w:sz w:val="28"/>
          <w:szCs w:val="28"/>
        </w:rPr>
      </w:pPr>
      <w:r>
        <w:rPr>
          <w:b/>
          <w:sz w:val="28"/>
          <w:szCs w:val="28"/>
        </w:rPr>
        <w:t>2/- Về theo dõi, kiểm soát giáo viên, nhân viên, học sinh đi về từ vùng dịch</w:t>
      </w:r>
    </w:p>
    <w:p>
      <w:pPr>
        <w:ind w:firstLine="720"/>
        <w:jc w:val="both"/>
        <w:rPr>
          <w:sz w:val="28"/>
          <w:szCs w:val="28"/>
        </w:rPr>
      </w:pPr>
      <w:r>
        <w:rPr>
          <w:sz w:val="28"/>
          <w:szCs w:val="28"/>
        </w:rPr>
        <w:t>- Hiệu trưởng các trường tiểu học, Hy Vọng có trách nhiệm nắm tình hình giáo viên, nhân viên, học sinh đi về từ vùng dịch, thực hiện báo cáo định kỳ và đột xuất theo quy định tại website trường, có giải pháp xử lý nhanh, hiệu quả các biến cố phát sinh.</w:t>
      </w:r>
    </w:p>
    <w:p>
      <w:pPr>
        <w:ind w:firstLine="720"/>
        <w:jc w:val="both"/>
        <w:rPr>
          <w:sz w:val="28"/>
          <w:szCs w:val="28"/>
        </w:rPr>
      </w:pPr>
      <w:r>
        <w:rPr>
          <w:sz w:val="28"/>
          <w:szCs w:val="28"/>
        </w:rPr>
        <w:t>Phòng Giáo dục và Đào tạo yêu cầu Hiệu trưởng các trường tiểu học, Hy Vọng nghiên cứu và thực hiện theo đúng văn bản hướng dẫn, mọi khó khăn đề nghị báo cáo cụ thể cho Phòng Giáo dục và Đào tạo (Tổ Tiểu học) để được hướng dẫn giải quyết./.</w:t>
      </w:r>
    </w:p>
    <w:tbl>
      <w:tblPr>
        <w:tblStyle w:val="TableGrid"/>
        <w:tblpPr w:leftFromText="180" w:rightFromText="180" w:vertAnchor="text" w:horzAnchor="margin" w:tblpY="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tc>
          <w:tcPr>
            <w:tcW w:w="4927" w:type="dxa"/>
          </w:tcPr>
          <w:p>
            <w:pPr>
              <w:rPr>
                <w:b/>
                <w:sz w:val="28"/>
                <w:szCs w:val="28"/>
              </w:rPr>
            </w:pPr>
            <w:r>
              <w:rPr>
                <w:b/>
                <w:sz w:val="28"/>
                <w:szCs w:val="28"/>
              </w:rPr>
              <w:t>Nơi nhận:</w:t>
            </w:r>
          </w:p>
          <w:p>
            <w:pPr>
              <w:rPr>
                <w:sz w:val="28"/>
                <w:szCs w:val="28"/>
              </w:rPr>
            </w:pPr>
            <w:r>
              <w:rPr>
                <w:sz w:val="28"/>
                <w:szCs w:val="28"/>
              </w:rPr>
              <w:t>- Như trên;</w:t>
            </w:r>
          </w:p>
          <w:p>
            <w:pPr>
              <w:rPr>
                <w:sz w:val="28"/>
                <w:szCs w:val="28"/>
              </w:rPr>
            </w:pPr>
            <w:r>
              <w:rPr>
                <w:sz w:val="28"/>
                <w:szCs w:val="28"/>
              </w:rPr>
              <w:t>-Lãnh đạo PGD&amp;ĐT (Thầy Hưng)</w:t>
            </w:r>
          </w:p>
          <w:p>
            <w:pPr>
              <w:rPr>
                <w:sz w:val="28"/>
                <w:szCs w:val="28"/>
              </w:rPr>
            </w:pPr>
            <w:r>
              <w:rPr>
                <w:sz w:val="28"/>
                <w:szCs w:val="28"/>
              </w:rPr>
              <w:t>- Lưu: VT</w:t>
            </w:r>
          </w:p>
          <w:p>
            <w:pPr>
              <w:rPr>
                <w:sz w:val="28"/>
                <w:szCs w:val="28"/>
              </w:rPr>
            </w:pPr>
          </w:p>
          <w:p>
            <w:pPr>
              <w:rPr>
                <w:sz w:val="28"/>
                <w:szCs w:val="28"/>
              </w:rPr>
            </w:pPr>
          </w:p>
        </w:tc>
        <w:tc>
          <w:tcPr>
            <w:tcW w:w="4928" w:type="dxa"/>
          </w:tcPr>
          <w:p>
            <w:pPr>
              <w:jc w:val="center"/>
              <w:rPr>
                <w:b/>
                <w:sz w:val="28"/>
                <w:szCs w:val="28"/>
              </w:rPr>
            </w:pPr>
            <w:r>
              <w:rPr>
                <w:b/>
                <w:sz w:val="28"/>
                <w:szCs w:val="28"/>
              </w:rPr>
              <w:t>KT. TRƯỞNG PHÒNG</w:t>
            </w:r>
          </w:p>
          <w:p>
            <w:pPr>
              <w:jc w:val="center"/>
              <w:rPr>
                <w:b/>
                <w:sz w:val="28"/>
                <w:szCs w:val="28"/>
              </w:rPr>
            </w:pPr>
            <w:r>
              <w:rPr>
                <w:b/>
                <w:sz w:val="28"/>
                <w:szCs w:val="28"/>
              </w:rPr>
              <w:t>PHÓ TRƯỞNG PHÒNG</w:t>
            </w:r>
          </w:p>
          <w:p>
            <w:pPr>
              <w:jc w:val="center"/>
              <w:rPr>
                <w:b/>
                <w:sz w:val="28"/>
                <w:szCs w:val="28"/>
              </w:rPr>
            </w:pPr>
          </w:p>
          <w:p>
            <w:pPr>
              <w:jc w:val="center"/>
              <w:rPr>
                <w:b/>
                <w:sz w:val="28"/>
                <w:szCs w:val="28"/>
              </w:rPr>
            </w:pPr>
          </w:p>
          <w:p>
            <w:pPr>
              <w:jc w:val="center"/>
              <w:rPr>
                <w:i/>
                <w:sz w:val="28"/>
                <w:szCs w:val="28"/>
              </w:rPr>
            </w:pPr>
            <w:r>
              <w:rPr>
                <w:i/>
                <w:sz w:val="28"/>
                <w:szCs w:val="28"/>
              </w:rPr>
              <w:t>(đã ký)</w:t>
            </w:r>
          </w:p>
          <w:p>
            <w:pPr>
              <w:jc w:val="center"/>
              <w:rPr>
                <w:b/>
                <w:sz w:val="28"/>
                <w:szCs w:val="28"/>
              </w:rPr>
            </w:pPr>
          </w:p>
          <w:p>
            <w:pPr>
              <w:jc w:val="center"/>
              <w:rPr>
                <w:b/>
                <w:sz w:val="28"/>
                <w:szCs w:val="28"/>
              </w:rPr>
            </w:pPr>
            <w:r>
              <w:rPr>
                <w:b/>
                <w:sz w:val="28"/>
                <w:szCs w:val="28"/>
              </w:rPr>
              <w:t>Nguyễn Quốc Hưng</w:t>
            </w:r>
          </w:p>
        </w:tc>
      </w:tr>
    </w:tbl>
    <w:p>
      <w:pPr>
        <w:ind w:left="720"/>
        <w:jc w:val="both"/>
        <w:rPr>
          <w:szCs w:val="26"/>
        </w:rPr>
      </w:pPr>
      <w:r>
        <w:rPr>
          <w:szCs w:val="26"/>
        </w:rPr>
        <w:br w:type="textWrapping" w:clear="all"/>
      </w:r>
    </w:p>
    <w:sectPr>
      <w:pgSz w:w="11907" w:h="16840" w:code="9"/>
      <w:pgMar w:top="1135" w:right="1134"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30"/>
  <w:displayHorizontalDrawingGridEvery w:val="2"/>
  <w:displayVerticalDrawingGridEvery w:val="2"/>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Carcassonno</cp:lastModifiedBy>
  <cp:revision>6</cp:revision>
  <cp:lastPrinted>2020-03-18T02:32:00Z</cp:lastPrinted>
  <dcterms:created xsi:type="dcterms:W3CDTF">2020-03-18T02:09:00Z</dcterms:created>
  <dcterms:modified xsi:type="dcterms:W3CDTF">2020-03-19T04:02:00Z</dcterms:modified>
</cp:coreProperties>
</file>